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 xml:space="preserve">Детский сад на 220 мест по ул. </w:t>
            </w:r>
            <w:proofErr w:type="spellStart"/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Кедрова</w:t>
            </w:r>
            <w:proofErr w:type="spellEnd"/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, д. 19 в городе Котласе Архангельской области.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Кедрова</w:t>
            </w:r>
            <w:proofErr w:type="spellEnd"/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, д. 19 в городе Котласе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662C0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662C0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D6" w:rsidRPr="002351D6" w:rsidRDefault="002351D6" w:rsidP="002351D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Расчетная стоимость строительства в текущих ценах</w:t>
            </w:r>
          </w:p>
          <w:p w:rsidR="00924636" w:rsidRPr="00A92FCC" w:rsidRDefault="002351D6" w:rsidP="002351D6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на IV квартал 2020 г.</w:t>
            </w: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ab/>
              <w:t>– 223 365,39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МО «Котлас».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62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МО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МО «Котлас».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2351D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1D6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351D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351D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662C0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351D6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2C0D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257D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64A8-6890-4B82-9618-C38EE692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2019-04-15T07:11:00Z</dcterms:created>
  <dcterms:modified xsi:type="dcterms:W3CDTF">2019-04-15T07:20:00Z</dcterms:modified>
</cp:coreProperties>
</file>